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 xml:space="preserve">W dniu ……………… 2021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B3514A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 w:rsidRPr="00AF6379">
        <w:rPr>
          <w:rFonts w:eastAsia="Times New Roman" w:cstheme="minorHAnsi"/>
          <w:lang w:eastAsia="pl-PL"/>
        </w:rPr>
        <w:t xml:space="preserve">Stół warsztatowy </w:t>
      </w:r>
      <w:r>
        <w:rPr>
          <w:rFonts w:eastAsia="Times New Roman" w:cstheme="minorHAnsi"/>
          <w:lang w:eastAsia="pl-PL"/>
        </w:rPr>
        <w:t>nauczyciela</w:t>
      </w:r>
      <w:r w:rsidRPr="00AF6379">
        <w:rPr>
          <w:rFonts w:eastAsia="Times New Roman" w:cstheme="minorHAnsi"/>
          <w:lang w:eastAsia="pl-PL"/>
        </w:rPr>
        <w:t xml:space="preserve"> z nadstawką</w:t>
      </w:r>
      <w:r>
        <w:rPr>
          <w:rFonts w:eastAsia="Times New Roman" w:cstheme="minorHAnsi"/>
          <w:lang w:eastAsia="pl-PL"/>
        </w:rPr>
        <w:t xml:space="preserve"> – 2 zestawy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 w:rsidRPr="00AF6379">
        <w:rPr>
          <w:rFonts w:eastAsia="Times New Roman" w:cstheme="minorHAnsi"/>
          <w:lang w:eastAsia="pl-PL"/>
        </w:rPr>
        <w:t xml:space="preserve">Stół warsztatowy </w:t>
      </w:r>
      <w:r>
        <w:rPr>
          <w:rFonts w:eastAsia="Times New Roman" w:cstheme="minorHAnsi"/>
          <w:lang w:eastAsia="pl-PL"/>
        </w:rPr>
        <w:t>nauczyciela</w:t>
      </w:r>
      <w:r w:rsidRPr="00AF6379">
        <w:rPr>
          <w:rFonts w:eastAsia="Times New Roman" w:cstheme="minorHAnsi"/>
          <w:lang w:eastAsia="pl-PL"/>
        </w:rPr>
        <w:t xml:space="preserve"> z nadstawką</w:t>
      </w:r>
      <w:r>
        <w:rPr>
          <w:rFonts w:eastAsia="Times New Roman" w:cstheme="minorHAnsi"/>
          <w:lang w:eastAsia="pl-PL"/>
        </w:rPr>
        <w:t xml:space="preserve"> – 1 zestaw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Taboret – 6 szt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1522">
        <w:rPr>
          <w:rFonts w:eastAsia="Times New Roman" w:cstheme="minorHAnsi"/>
          <w:sz w:val="24"/>
          <w:szCs w:val="24"/>
        </w:rPr>
        <w:t>Szafa metalowa na narzędzia z półkami</w:t>
      </w:r>
      <w:r>
        <w:rPr>
          <w:rFonts w:eastAsia="Times New Roman" w:cstheme="minorHAnsi"/>
          <w:sz w:val="24"/>
          <w:szCs w:val="24"/>
        </w:rPr>
        <w:t xml:space="preserve"> – 1 szt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Z</w:t>
      </w:r>
      <w:r w:rsidRPr="00271EAE">
        <w:rPr>
          <w:rFonts w:eastAsia="Times New Roman" w:cstheme="minorHAnsi"/>
          <w:lang w:eastAsia="pl-PL"/>
        </w:rPr>
        <w:t>estaw desek do krojenia</w:t>
      </w:r>
      <w:r>
        <w:rPr>
          <w:rFonts w:eastAsia="Times New Roman" w:cstheme="minorHAnsi"/>
          <w:lang w:eastAsia="pl-PL"/>
        </w:rPr>
        <w:t xml:space="preserve"> – 2 zestawy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S</w:t>
      </w:r>
      <w:r w:rsidRPr="00271EAE">
        <w:rPr>
          <w:rFonts w:eastAsia="Times New Roman" w:cstheme="minorHAnsi"/>
          <w:lang w:eastAsia="pl-PL"/>
        </w:rPr>
        <w:t>tolnica</w:t>
      </w:r>
      <w:r>
        <w:rPr>
          <w:rFonts w:eastAsia="Times New Roman" w:cstheme="minorHAnsi"/>
          <w:lang w:eastAsia="pl-PL"/>
        </w:rPr>
        <w:t xml:space="preserve"> – 1 szt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W</w:t>
      </w:r>
      <w:r w:rsidRPr="00271EAE">
        <w:rPr>
          <w:rFonts w:eastAsia="Times New Roman" w:cstheme="minorHAnsi"/>
          <w:lang w:eastAsia="pl-PL"/>
        </w:rPr>
        <w:t>ałek</w:t>
      </w:r>
      <w:r>
        <w:rPr>
          <w:rFonts w:eastAsia="Times New Roman" w:cstheme="minorHAnsi"/>
          <w:lang w:eastAsia="pl-PL"/>
        </w:rPr>
        <w:t xml:space="preserve"> – 1 szt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Z</w:t>
      </w:r>
      <w:r w:rsidRPr="00271EAE">
        <w:rPr>
          <w:rFonts w:eastAsia="Times New Roman" w:cstheme="minorHAnsi"/>
          <w:lang w:eastAsia="pl-PL"/>
        </w:rPr>
        <w:t>estaw garnków</w:t>
      </w:r>
      <w:r>
        <w:rPr>
          <w:rFonts w:eastAsia="Times New Roman" w:cstheme="minorHAnsi"/>
          <w:lang w:eastAsia="pl-PL"/>
        </w:rPr>
        <w:t xml:space="preserve"> – 1 zestaw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Z</w:t>
      </w:r>
      <w:r w:rsidRPr="00271EAE">
        <w:rPr>
          <w:rFonts w:eastAsia="Times New Roman" w:cstheme="minorHAnsi"/>
          <w:lang w:eastAsia="pl-PL"/>
        </w:rPr>
        <w:t>estaw noży</w:t>
      </w:r>
      <w:r>
        <w:rPr>
          <w:rFonts w:eastAsia="Times New Roman" w:cstheme="minorHAnsi"/>
          <w:lang w:eastAsia="pl-PL"/>
        </w:rPr>
        <w:t xml:space="preserve"> – zestaw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Patelnia mała – 1 szt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Patelnia duża – 1 szt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Czajnik elektryczny – szt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Waga kuchenna – 1 szt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Igły do szycia ręcznego – 3 zestawy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R</w:t>
      </w:r>
      <w:r w:rsidRPr="00271EAE">
        <w:rPr>
          <w:rFonts w:eastAsia="Times New Roman" w:cstheme="minorHAnsi"/>
          <w:lang w:eastAsia="pl-PL"/>
        </w:rPr>
        <w:t>amy tkackie</w:t>
      </w:r>
      <w:r>
        <w:rPr>
          <w:rFonts w:eastAsia="Times New Roman" w:cstheme="minorHAnsi"/>
          <w:lang w:eastAsia="pl-PL"/>
        </w:rPr>
        <w:t xml:space="preserve"> – 7 szt</w:t>
      </w:r>
    </w:p>
    <w:p w:rsidR="00F81522" w:rsidRPr="00F81522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N</w:t>
      </w:r>
      <w:r w:rsidRPr="00271EAE">
        <w:rPr>
          <w:rFonts w:eastAsia="Times New Roman" w:cstheme="minorHAnsi"/>
          <w:lang w:eastAsia="pl-PL"/>
        </w:rPr>
        <w:t>ożyczki uniwersalne</w:t>
      </w:r>
      <w:r>
        <w:rPr>
          <w:rFonts w:eastAsia="Times New Roman" w:cstheme="minorHAnsi"/>
          <w:lang w:eastAsia="pl-PL"/>
        </w:rPr>
        <w:t xml:space="preserve"> – 15 szt</w:t>
      </w:r>
    </w:p>
    <w:p w:rsidR="00F81522" w:rsidRPr="009207A9" w:rsidRDefault="00F81522" w:rsidP="00F81522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Igły do szycia ręcznego – 3 zestawy</w:t>
      </w: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Niciarniana</w:t>
      </w:r>
      <w:r w:rsidR="00A92FAF">
        <w:t xml:space="preserve"> 2a,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bookmarkStart w:id="0" w:name="_GoBack"/>
      <w:r w:rsidRPr="00492732">
        <w:rPr>
          <w:bCs/>
        </w:rPr>
        <w:t>14</w:t>
      </w:r>
      <w:bookmarkEnd w:id="0"/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Nabywca: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Miasto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90-926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ul. Piotrkowska 104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NIP 7250028902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Odbiorca: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Szkoła Podstawowa Specjalna nr 128 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92-208 Łódź</w:t>
      </w:r>
    </w:p>
    <w:p w:rsidR="001B3449" w:rsidRPr="0018427B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</w:t>
      </w:r>
      <w:r>
        <w:rPr>
          <w:bCs/>
          <w:lang w:eastAsia="ar-SA"/>
        </w:rPr>
        <w:lastRenderedPageBreak/>
        <w:t xml:space="preserve">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r>
        <w:rPr>
          <w:rFonts w:ascii="Calibri" w:hAnsi="Calibri" w:cs="Calibri"/>
          <w:sz w:val="22"/>
          <w:szCs w:val="22"/>
          <w:lang w:eastAsia="pl-PL"/>
        </w:rPr>
        <w:lastRenderedPageBreak/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3832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C1E8C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C3822EE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3E64362"/>
    <w:multiLevelType w:val="hybridMultilevel"/>
    <w:tmpl w:val="0024D2D2"/>
    <w:lvl w:ilvl="0" w:tplc="BBFC27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9588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C56F41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5082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41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41"/>
  </w:num>
  <w:num w:numId="5">
    <w:abstractNumId w:val="20"/>
  </w:num>
  <w:num w:numId="6">
    <w:abstractNumId w:val="1"/>
  </w:num>
  <w:num w:numId="7">
    <w:abstractNumId w:val="13"/>
  </w:num>
  <w:num w:numId="8">
    <w:abstractNumId w:val="2"/>
  </w:num>
  <w:num w:numId="9">
    <w:abstractNumId w:val="30"/>
  </w:num>
  <w:num w:numId="10">
    <w:abstractNumId w:val="8"/>
  </w:num>
  <w:num w:numId="11">
    <w:abstractNumId w:val="18"/>
  </w:num>
  <w:num w:numId="12">
    <w:abstractNumId w:val="21"/>
  </w:num>
  <w:num w:numId="13">
    <w:abstractNumId w:val="29"/>
  </w:num>
  <w:num w:numId="14">
    <w:abstractNumId w:val="17"/>
  </w:num>
  <w:num w:numId="15">
    <w:abstractNumId w:val="9"/>
  </w:num>
  <w:num w:numId="16">
    <w:abstractNumId w:val="23"/>
  </w:num>
  <w:num w:numId="17">
    <w:abstractNumId w:val="27"/>
  </w:num>
  <w:num w:numId="18">
    <w:abstractNumId w:val="3"/>
  </w:num>
  <w:num w:numId="19">
    <w:abstractNumId w:val="25"/>
  </w:num>
  <w:num w:numId="20">
    <w:abstractNumId w:val="10"/>
  </w:num>
  <w:num w:numId="21">
    <w:abstractNumId w:val="42"/>
  </w:num>
  <w:num w:numId="22">
    <w:abstractNumId w:val="32"/>
  </w:num>
  <w:num w:numId="23">
    <w:abstractNumId w:val="38"/>
  </w:num>
  <w:num w:numId="24">
    <w:abstractNumId w:val="40"/>
  </w:num>
  <w:num w:numId="25">
    <w:abstractNumId w:val="16"/>
  </w:num>
  <w:num w:numId="26">
    <w:abstractNumId w:val="24"/>
  </w:num>
  <w:num w:numId="27">
    <w:abstractNumId w:val="19"/>
  </w:num>
  <w:num w:numId="28">
    <w:abstractNumId w:val="14"/>
  </w:num>
  <w:num w:numId="29">
    <w:abstractNumId w:val="37"/>
  </w:num>
  <w:num w:numId="30">
    <w:abstractNumId w:val="4"/>
  </w:num>
  <w:num w:numId="31">
    <w:abstractNumId w:val="28"/>
  </w:num>
  <w:num w:numId="32">
    <w:abstractNumId w:val="12"/>
  </w:num>
  <w:num w:numId="33">
    <w:abstractNumId w:val="0"/>
  </w:num>
  <w:num w:numId="34">
    <w:abstractNumId w:val="33"/>
  </w:num>
  <w:num w:numId="35">
    <w:abstractNumId w:val="34"/>
  </w:num>
  <w:num w:numId="36">
    <w:abstractNumId w:val="5"/>
  </w:num>
  <w:num w:numId="37">
    <w:abstractNumId w:val="11"/>
  </w:num>
  <w:num w:numId="38">
    <w:abstractNumId w:val="36"/>
  </w:num>
  <w:num w:numId="39">
    <w:abstractNumId w:val="7"/>
  </w:num>
  <w:num w:numId="40">
    <w:abstractNumId w:val="35"/>
  </w:num>
  <w:num w:numId="41">
    <w:abstractNumId w:val="39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067C8"/>
    <w:rsid w:val="00022796"/>
    <w:rsid w:val="000805C9"/>
    <w:rsid w:val="000A1DFC"/>
    <w:rsid w:val="001A0807"/>
    <w:rsid w:val="001B3449"/>
    <w:rsid w:val="001F7FA4"/>
    <w:rsid w:val="00287014"/>
    <w:rsid w:val="002972A0"/>
    <w:rsid w:val="002B27BD"/>
    <w:rsid w:val="002B6D5B"/>
    <w:rsid w:val="002F4A9C"/>
    <w:rsid w:val="00344992"/>
    <w:rsid w:val="00346F77"/>
    <w:rsid w:val="00377D9C"/>
    <w:rsid w:val="003A482F"/>
    <w:rsid w:val="003A4E09"/>
    <w:rsid w:val="003E2ED2"/>
    <w:rsid w:val="003E78F4"/>
    <w:rsid w:val="003F7834"/>
    <w:rsid w:val="004236C4"/>
    <w:rsid w:val="004467DA"/>
    <w:rsid w:val="004809F4"/>
    <w:rsid w:val="00486D43"/>
    <w:rsid w:val="00492732"/>
    <w:rsid w:val="004D62A8"/>
    <w:rsid w:val="004F7F29"/>
    <w:rsid w:val="005249E0"/>
    <w:rsid w:val="007036B9"/>
    <w:rsid w:val="007F0EB8"/>
    <w:rsid w:val="00890EC4"/>
    <w:rsid w:val="00901116"/>
    <w:rsid w:val="009207A9"/>
    <w:rsid w:val="009608B6"/>
    <w:rsid w:val="00963A06"/>
    <w:rsid w:val="009B4E56"/>
    <w:rsid w:val="009E4BB6"/>
    <w:rsid w:val="009E774D"/>
    <w:rsid w:val="00A14A1C"/>
    <w:rsid w:val="00A673A1"/>
    <w:rsid w:val="00A92FAF"/>
    <w:rsid w:val="00B3514A"/>
    <w:rsid w:val="00B654AE"/>
    <w:rsid w:val="00B765F0"/>
    <w:rsid w:val="00B8579C"/>
    <w:rsid w:val="00C16E29"/>
    <w:rsid w:val="00C55560"/>
    <w:rsid w:val="00D33CA2"/>
    <w:rsid w:val="00D81AD3"/>
    <w:rsid w:val="00E20A4B"/>
    <w:rsid w:val="00EC4C72"/>
    <w:rsid w:val="00F62A8E"/>
    <w:rsid w:val="00F81522"/>
    <w:rsid w:val="00F9312F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C10F-2BE0-45C8-ABC5-0EDD036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2698</Words>
  <Characters>16193</Characters>
  <Application>Microsoft Office Word</Application>
  <DocSecurity>0</DocSecurity>
  <Lines>134</Lines>
  <Paragraphs>37</Paragraphs>
  <ScaleCrop>false</ScaleCrop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Sekretariat2</cp:lastModifiedBy>
  <cp:revision>4</cp:revision>
  <dcterms:created xsi:type="dcterms:W3CDTF">2021-12-19T22:48:00Z</dcterms:created>
  <dcterms:modified xsi:type="dcterms:W3CDTF">2021-12-20T08:31:00Z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